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>
          <w:rFonts w:hint="eastAsia"/>
          <w:lang w:eastAsia="zh-CN"/>
        </w:rPr>
      </w:pPr>
      <w:bookmarkStart w:id="0" w:name="_GoBack"/>
      <w:bookmarkEnd w:id="0"/>
      <w:r>
        <w:rPr>
          <w:rFonts w:hint="eastAsia"/>
          <w:lang w:eastAsia="zh-CN"/>
        </w:rPr>
        <w:t>弘扬一二九运动爱国运动，做踔厉奋发的新时代青年”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演讲比赛评分标准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本次比赛以百分制进行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主题内容：作品内容健康向上，中心明确，以“弘扬一二九运动爱国运动，做踔厉奋发的新时代青年”为主题；（20分）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2、朗诵技巧：语气、语调、语速与朗诵内容相协调，表达自然顺畅，节奏把握得当，朗诵技巧运用自如；（20分）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3、语言水平；普通话标准、吐字清楚、内容熟练；（10分）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4、仪表风范：（共10分）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①服饰大方得体，与朗诵内容相协调，仪态自然庄重符合大学生身份；手势、表情等态势语言表达合理，能正确反应作品的内涵。（5分）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②上下场井然有序，文明参赛、观赛，有较强的集体荣誉感和大局意识。（5分）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5、情感表达：感情真挚饱满，表达自然，富有韵味和感染力，表现力和观赏性强，能与观众产生共鸣。（20分）</w:t>
      </w:r>
    </w:p>
    <w:p>
      <w:pPr>
        <w:pStyle w:val="style0"/>
        <w:rPr>
          <w:rFonts w:hint="eastAsia"/>
          <w:lang w:eastAsia="zh-CN"/>
        </w:rPr>
      </w:pPr>
      <w:r>
        <w:rPr>
          <w:rFonts w:hint="eastAsia"/>
          <w:lang w:eastAsia="zh-CN"/>
        </w:rPr>
        <w:t>6、创新形式：脱稿，艺术性强；适当配以伴舞、配乐或情景剧，抑或以其他富有特色的形式朗诵；（20分）</w:t>
      </w:r>
    </w:p>
    <w:p>
      <w:pPr>
        <w:pStyle w:val="style0"/>
        <w:rPr/>
      </w:pPr>
      <w:r>
        <w:rPr>
          <w:rFonts w:hint="eastAsia"/>
          <w:lang w:eastAsia="zh-CN"/>
        </w:rPr>
        <w:t>（注：根据打分情况，去掉一个最高分和最低分根据平均分高低 确定最终排名。）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416</Words>
  <Characters>422</Characters>
  <Application>WPS Office</Application>
  <Paragraphs>12</Paragraphs>
  <CharactersWithSpaces>423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2024-11-26T11:02:58Z</dcterms:created>
  <dc:creator>V2301A</dc:creator>
  <lastModifiedBy>V2301A</lastModifiedBy>
  <dcterms:modified xsi:type="dcterms:W3CDTF">2024-11-26T11:11:23Z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0a9dad9076ec427cb6babb693e5804bb_21</vt:lpwstr>
  </property>
</Properties>
</file>