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8B4749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7"/>
          <w:szCs w:val="27"/>
          <w:shd w:val="clear" w:fill="FFFFFF"/>
        </w:rPr>
        <w:t>关于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西电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7"/>
          <w:szCs w:val="27"/>
          <w:shd w:val="clear" w:fill="FFFFFF"/>
        </w:rPr>
        <w:t>202</w:t>
      </w:r>
      <w:r>
        <w:rPr>
          <w:rFonts w:hint="default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下半年网络教育本科生</w:t>
      </w:r>
    </w:p>
    <w:p w14:paraId="7122336D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center"/>
        <w:textAlignment w:val="auto"/>
        <w:rPr>
          <w:rFonts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7"/>
          <w:szCs w:val="27"/>
          <w:shd w:val="clear" w:fill="FFFFFF"/>
        </w:rPr>
        <w:t>毕业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论文线上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7"/>
          <w:szCs w:val="27"/>
          <w:shd w:val="clear" w:fill="FFFFFF"/>
        </w:rPr>
        <w:t>答辩工作的通知</w:t>
      </w:r>
    </w:p>
    <w:p w14:paraId="39535B4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一、答辩时间</w:t>
      </w:r>
    </w:p>
    <w:p w14:paraId="64A29537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textAlignment w:val="auto"/>
        <w:rPr>
          <w:rFonts w:hint="default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2024年10月27日（周日）8：40-9：20                                             </w:t>
      </w:r>
    </w:p>
    <w:p w14:paraId="25FEEAB9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答辩名单</w:t>
      </w:r>
    </w:p>
    <w:tbl>
      <w:tblPr>
        <w:tblStyle w:val="5"/>
        <w:tblW w:w="71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6"/>
        <w:gridCol w:w="2538"/>
        <w:gridCol w:w="2538"/>
      </w:tblGrid>
      <w:tr w14:paraId="6E577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269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707900190052018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50D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杨晨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AF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</w:tr>
    </w:tbl>
    <w:p w14:paraId="48C3247C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答辩形式</w:t>
      </w:r>
    </w:p>
    <w:p w14:paraId="113CF94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8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学生视频答辩“西电课堂”系统操作说明及注意事项（见附件二）。</w:t>
      </w:r>
    </w:p>
    <w:p w14:paraId="67D3EE9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四、答辩流程及要求</w:t>
      </w:r>
    </w:p>
    <w:p w14:paraId="5448860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1.答辩前30分钟，答辩秘书召集答辩学生进入线上视频平台的答辩室，做好答辩前的各项准备工作；</w:t>
      </w:r>
    </w:p>
    <w:p w14:paraId="7CE7B05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2.答辩组长宣布答辩开始，介绍答辩小组成员并主持会议；</w:t>
      </w:r>
    </w:p>
    <w:p w14:paraId="61E682A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3.答辩学生身份甄别，学生须稳持身份证于脸旁，以便答辩教师核对确认。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single"/>
          <w:shd w:val="clear" w:fill="FFFFFF"/>
          <w:lang w:val="en-US" w:eastAsia="zh-CN"/>
        </w:rPr>
        <w:t>严防替代等违纪行为，一经发现按违纪规定处理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。要求学生旋转镜头，展示答辩环境，</w:t>
      </w:r>
      <w:r>
        <w:rPr>
          <w:rFonts w:hint="default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并保证是在单独空间独立进行答辩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。抓取（截图）学生持证图像，作为必要的个人统计资料备存。</w:t>
      </w:r>
    </w:p>
    <w:p w14:paraId="25E49D8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答辩学生须展示印制好的论文，方法同身份甄别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。</w:t>
      </w:r>
    </w:p>
    <w:p w14:paraId="69960FB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textAlignment w:val="auto"/>
        <w:rPr>
          <w:rFonts w:hint="default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5.学生须提前准备答辩PPT，独立脱稿陈述。</w:t>
      </w:r>
    </w:p>
    <w:p w14:paraId="7F018DA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6.学生个人陈述，时间控制在10分钟以内；老师提问和学生回答不超过5分钟；要求提前备好纸笔，详细记录教师意见，以便答辩后对论文进行再次修改。</w:t>
      </w:r>
    </w:p>
    <w:p w14:paraId="0AD6930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7.答辩结束后，答辩小组单独进行评议，论文成绩评定按《西电网络教育本科毕业论文（设计）工作条例（试行）》。确定学生答辩成绩。</w:t>
      </w:r>
    </w:p>
    <w:p w14:paraId="52D3D84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8. 答辩过程将全程录音录像。</w:t>
      </w:r>
    </w:p>
    <w:p w14:paraId="452DA50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textAlignment w:val="auto"/>
        <w:rPr>
          <w:rFonts w:hint="default" w:ascii="宋体" w:hAnsi="宋体" w:eastAsia="宋体" w:cs="宋体"/>
          <w:b/>
          <w:bCs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五、重要提醒</w:t>
      </w:r>
    </w:p>
    <w:p w14:paraId="3A65BC84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1.鉴于线上答辩特殊性，为方便联系，请答辩学生务必保证QQ或微信畅通；</w:t>
      </w:r>
    </w:p>
    <w:p w14:paraId="0AF313AB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2.答辩学生务必按照要求提前做好答辩设备的准备及测试；</w:t>
      </w:r>
    </w:p>
    <w:p w14:paraId="67489149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textAlignment w:val="auto"/>
        <w:rPr>
          <w:rFonts w:hint="default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3.论文须提交Word、PDF版、查重简洁版、格式检测简明版，答辩成绩方有效；</w:t>
      </w:r>
    </w:p>
    <w:p w14:paraId="54D89B2E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4.根据西电学位管理规定，申请学位条件其中之一即论文成绩在“良”以上（含“良”）；（学位申请资格及各专业考核课程见附件三）。</w:t>
      </w:r>
    </w:p>
    <w:p w14:paraId="1F48021B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caps w:val="0"/>
          <w:color w:val="C00000"/>
          <w:spacing w:val="0"/>
          <w:sz w:val="24"/>
          <w:szCs w:val="24"/>
          <w:shd w:val="clear" w:fill="FFFFFF"/>
          <w:lang w:val="en-US" w:eastAsia="zh-CN"/>
        </w:rPr>
        <w:t>.答辩的成绩不是论文的最终成绩，论文成绩需西电答辩委员会最终审定。</w:t>
      </w:r>
    </w:p>
    <w:p w14:paraId="1B92ED17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240" w:leftChars="0" w:right="0" w:rightChars="0" w:hanging="240" w:hangingChars="100"/>
        <w:textAlignment w:val="auto"/>
        <w:rPr>
          <w:rFonts w:hint="default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6.答辩顺序、答辩注意事项及答辩结束后，再次修改的论文提交事宜，届时均会及时另行通知。请及时关注。</w:t>
      </w:r>
      <w:r>
        <w:rPr>
          <w:rFonts w:hint="default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 </w:t>
      </w:r>
    </w:p>
    <w:p w14:paraId="3E787195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7.为保证印制规范，论文终稿胶装工作由我中心统一完成。</w:t>
      </w:r>
    </w:p>
    <w:p w14:paraId="28B80F9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5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未尽事宜请与学院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教务科</w:t>
      </w:r>
      <w:r>
        <w:rPr>
          <w:rFonts w:hint="default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联系，联系人：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孙老师</w:t>
      </w:r>
      <w:r>
        <w:rPr>
          <w:rFonts w:hint="default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；联系电话：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15862157072</w:t>
      </w:r>
      <w:r>
        <w:rPr>
          <w:rFonts w:hint="default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；电子邮箱：</w:t>
      </w:r>
      <w:r>
        <w:rPr>
          <w:rFonts w:hint="default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default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"mailto:645481039@qq.com。" </w:instrText>
      </w:r>
      <w:r>
        <w:rPr>
          <w:rFonts w:hint="default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645481039@qq.com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。</w:t>
      </w:r>
      <w:r>
        <w:rPr>
          <w:rFonts w:hint="default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 w14:paraId="4EAE0BB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5"/>
        <w:jc w:val="left"/>
        <w:rPr>
          <w:rFonts w:hint="eastAsia" w:ascii="仿宋_gb2312" w:hAnsi="仿宋_gb2312" w:eastAsia="仿宋_gb2312" w:cs="仿宋_gb2312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1"/>
          <w:szCs w:val="31"/>
          <w:lang w:val="en-US" w:eastAsia="zh-CN" w:bidi="ar"/>
        </w:rPr>
        <w:t xml:space="preserve">                                </w:t>
      </w:r>
    </w:p>
    <w:p w14:paraId="517BE71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5285" w:firstLineChars="1705"/>
        <w:jc w:val="left"/>
        <w:rPr>
          <w:rFonts w:hint="eastAsia" w:ascii="仿宋_gb2312" w:hAnsi="仿宋_gb2312" w:eastAsia="仿宋_gb2312" w:cs="仿宋_gb2312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1"/>
          <w:szCs w:val="31"/>
          <w:lang w:val="en-US" w:eastAsia="zh-CN" w:bidi="ar"/>
        </w:rPr>
        <w:t xml:space="preserve"> 继教院教务科</w:t>
      </w:r>
    </w:p>
    <w:p w14:paraId="22AD391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right="0" w:firstLine="5270" w:firstLineChars="1700"/>
        <w:jc w:val="left"/>
        <w:rPr>
          <w:rFonts w:hint="eastAsia" w:ascii="仿宋_gb2312" w:hAnsi="仿宋_gb2312" w:eastAsia="仿宋_gb2312" w:cs="仿宋_gb2312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1"/>
          <w:szCs w:val="31"/>
          <w:lang w:val="en-US" w:eastAsia="zh-CN" w:bidi="ar"/>
        </w:rPr>
        <w:t>2024年10月14日</w:t>
      </w:r>
    </w:p>
    <w:p w14:paraId="306AC1C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jc w:val="both"/>
        <w:rPr>
          <w:rFonts w:hint="eastAsia" w:ascii="微软雅黑" w:hAnsi="微软雅黑" w:eastAsia="微软雅黑" w:cs="微软雅黑"/>
          <w:b/>
          <w:i w:val="0"/>
          <w:caps w:val="0"/>
          <w:color w:val="363636"/>
          <w:spacing w:val="0"/>
          <w:sz w:val="27"/>
          <w:szCs w:val="27"/>
          <w:shd w:val="clear" w:fill="FFFFFF"/>
          <w:lang w:val="en-US" w:eastAsia="zh-CN"/>
        </w:rPr>
      </w:pPr>
    </w:p>
    <w:p w14:paraId="3405F5C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jc w:val="both"/>
        <w:rPr>
          <w:rFonts w:hint="default" w:ascii="微软雅黑" w:hAnsi="微软雅黑" w:eastAsia="微软雅黑" w:cs="微软雅黑"/>
          <w:b/>
          <w:i w:val="0"/>
          <w:caps w:val="0"/>
          <w:color w:val="363636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i w:val="0"/>
          <w:caps w:val="0"/>
          <w:color w:val="363636"/>
          <w:spacing w:val="0"/>
          <w:sz w:val="27"/>
          <w:szCs w:val="27"/>
          <w:shd w:val="clear" w:fill="FFFFFF"/>
          <w:lang w:val="en-US" w:eastAsia="zh-CN"/>
        </w:rPr>
        <w:t>附件一      西电课堂操作说明及注意事项</w:t>
      </w:r>
    </w:p>
    <w:p w14:paraId="3ACC47E1">
      <w:pPr>
        <w:rPr>
          <w:rFonts w:hint="eastAsia" w:ascii="微软雅黑" w:hAnsi="微软雅黑" w:eastAsia="微软雅黑" w:cs="微软雅黑"/>
          <w:b/>
          <w:i w:val="0"/>
          <w:caps w:val="0"/>
          <w:color w:val="363636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i w:val="0"/>
          <w:caps w:val="0"/>
          <w:color w:val="363636"/>
          <w:spacing w:val="0"/>
          <w:sz w:val="27"/>
          <w:szCs w:val="27"/>
          <w:shd w:val="clear" w:fill="FFFFFF"/>
          <w:lang w:val="en-US" w:eastAsia="zh-CN"/>
        </w:rPr>
        <w:t xml:space="preserve">附件二      学位申请资格及各专业考核课程 </w:t>
      </w:r>
    </w:p>
    <w:p w14:paraId="5EACB845">
      <w:pPr>
        <w:rPr>
          <w:rFonts w:hint="eastAsia" w:ascii="微软雅黑" w:hAnsi="微软雅黑" w:eastAsia="微软雅黑" w:cs="微软雅黑"/>
          <w:b/>
          <w:i w:val="0"/>
          <w:caps w:val="0"/>
          <w:color w:val="363636"/>
          <w:spacing w:val="0"/>
          <w:sz w:val="27"/>
          <w:szCs w:val="27"/>
          <w:shd w:val="clear" w:fill="FFFFFF"/>
          <w:lang w:val="en-US" w:eastAsia="zh-CN"/>
        </w:rPr>
      </w:pPr>
    </w:p>
    <w:p w14:paraId="366665D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jc w:val="both"/>
        <w:rPr>
          <w:rFonts w:hint="eastAsia" w:ascii="微软雅黑" w:hAnsi="微软雅黑" w:eastAsia="微软雅黑" w:cs="微软雅黑"/>
          <w:b/>
          <w:i w:val="0"/>
          <w:caps w:val="0"/>
          <w:color w:val="363636"/>
          <w:spacing w:val="0"/>
          <w:sz w:val="27"/>
          <w:szCs w:val="27"/>
          <w:shd w:val="clear" w:fill="FFFFFF"/>
          <w:lang w:val="en-US" w:eastAsia="zh-CN"/>
        </w:rPr>
      </w:pPr>
    </w:p>
    <w:p w14:paraId="13E8423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jc w:val="both"/>
        <w:rPr>
          <w:rFonts w:hint="eastAsia" w:ascii="微软雅黑" w:hAnsi="微软雅黑" w:eastAsia="微软雅黑" w:cs="微软雅黑"/>
          <w:b/>
          <w:i w:val="0"/>
          <w:caps w:val="0"/>
          <w:color w:val="363636"/>
          <w:spacing w:val="0"/>
          <w:sz w:val="27"/>
          <w:szCs w:val="27"/>
          <w:shd w:val="clear" w:fill="FFFFFF"/>
          <w:lang w:val="en-US" w:eastAsia="zh-CN"/>
        </w:rPr>
      </w:pPr>
    </w:p>
    <w:p w14:paraId="5BCA45E0">
      <w:pPr>
        <w:rPr>
          <w:rFonts w:hint="eastAsia" w:ascii="微软雅黑" w:hAnsi="微软雅黑" w:eastAsia="微软雅黑" w:cs="微软雅黑"/>
          <w:b/>
          <w:i w:val="0"/>
          <w:caps w:val="0"/>
          <w:color w:val="363636"/>
          <w:spacing w:val="0"/>
          <w:sz w:val="27"/>
          <w:szCs w:val="27"/>
          <w:shd w:val="clear" w:fill="FFFFFF"/>
          <w:lang w:val="en-US" w:eastAsia="zh-CN"/>
        </w:rPr>
      </w:pPr>
    </w:p>
    <w:tbl>
      <w:tblPr>
        <w:tblStyle w:val="5"/>
        <w:tblW w:w="666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6"/>
      </w:tblGrid>
      <w:tr w14:paraId="09AE0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72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ACDB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CCC8D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华文中宋" w:hAnsi="华文中宋" w:eastAsia="华文中宋" w:cs="华文中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AA1A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79066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华文中宋" w:hAnsi="华文中宋" w:eastAsia="华文中宋" w:cs="华文中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4B4B702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center"/>
        <w:rPr>
          <w:rFonts w:hint="default" w:ascii="华文中宋" w:hAnsi="华文中宋" w:eastAsia="华文中宋" w:cs="华文中宋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华文中宋" w:hAnsi="华文中宋" w:eastAsia="华文中宋" w:cs="华文中宋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附件一 西电课堂操作说明及注意事项</w:t>
      </w:r>
    </w:p>
    <w:p w14:paraId="178B751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10" w:lineRule="atLeast"/>
        <w:ind w:left="0" w:firstLine="420"/>
        <w:textAlignment w:val="top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</w:rPr>
        <w:t>（1）登录</w:t>
      </w:r>
      <w:bookmarkStart w:id="0" w:name="_GoBack"/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</w:rPr>
        <w:t>学校网站</w:t>
      </w:r>
      <w:bookmarkEnd w:id="0"/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</w:rPr>
        <w:t>：https://www.xidian.edu.cn/，点击智课平台；</w:t>
      </w:r>
    </w:p>
    <w:p w14:paraId="1092AF3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510" w:lineRule="atLeast"/>
        <w:ind w:left="0" w:right="0" w:firstLine="0"/>
        <w:jc w:val="center"/>
        <w:textAlignment w:val="top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bdr w:val="single" w:color="CCCCCC" w:sz="6" w:space="0"/>
        </w:rPr>
        <w:drawing>
          <wp:inline distT="0" distB="0" distL="114300" distR="114300">
            <wp:extent cx="5743575" cy="638175"/>
            <wp:effectExtent l="0" t="0" r="9525" b="9525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8E502B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510" w:lineRule="atLeast"/>
        <w:ind w:left="0" w:right="0" w:firstLine="0"/>
        <w:jc w:val="left"/>
        <w:textAlignment w:val="top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</w:rPr>
        <w:t>                                                                           </w:t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bdr w:val="single" w:color="CCCCCC" w:sz="6" w:space="0"/>
        </w:rPr>
        <w:drawing>
          <wp:inline distT="0" distB="0" distL="114300" distR="114300">
            <wp:extent cx="809625" cy="2771775"/>
            <wp:effectExtent l="0" t="0" r="9525" b="9525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A429B1D">
      <w:pPr>
        <w:pStyle w:val="4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10" w:lineRule="atLeast"/>
        <w:ind w:left="0" w:firstLine="420"/>
        <w:textAlignment w:val="top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</w:rPr>
        <w:t>点击相关下载，选择PC端（西电课堂）或移动端版本（学在西电），加入直播课堂输入邀请码即可线上答辩（学生可从学习通进入平台）</w:t>
      </w:r>
    </w:p>
    <w:p w14:paraId="77E232AC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571115" cy="2259330"/>
            <wp:effectExtent l="0" t="0" r="635" b="7620"/>
            <wp:docPr id="4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71115" cy="2259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400935" cy="2028825"/>
            <wp:effectExtent l="0" t="0" r="18415" b="9525"/>
            <wp:docPr id="5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0093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3CAC04B">
      <w:pPr>
        <w:keepNext w:val="0"/>
        <w:keepLines w:val="0"/>
        <w:widowControl/>
        <w:suppressLineNumbers w:val="0"/>
        <w:jc w:val="left"/>
      </w:pPr>
    </w:p>
    <w:p w14:paraId="50045A8D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904615" cy="2971800"/>
            <wp:effectExtent l="0" t="0" r="635" b="0"/>
            <wp:docPr id="6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0461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E04C385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Arial" w:hAnsi="Arial" w:cs="Arial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下载完的电脑软件页面</w:t>
      </w:r>
    </w:p>
    <w:p w14:paraId="7699C0A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705350" cy="4982845"/>
            <wp:effectExtent l="0" t="0" r="0" b="8255"/>
            <wp:docPr id="7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49828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0B895F5">
      <w:pPr>
        <w:keepNext w:val="0"/>
        <w:keepLines w:val="0"/>
        <w:widowControl/>
        <w:suppressLineNumbers w:val="0"/>
        <w:jc w:val="left"/>
        <w:rPr>
          <w:rFonts w:hint="eastAsia" w:ascii="Arial" w:hAnsi="Arial" w:cs="Arial" w:eastAsiaTheme="minorEastAsia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</w:rPr>
        <w:t>然后输入邀请码就可以了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  <w:t>。</w:t>
      </w:r>
    </w:p>
    <w:p w14:paraId="02141744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</w:rPr>
      </w:pPr>
    </w:p>
    <w:p w14:paraId="08920DC4">
      <w:pPr>
        <w:ind w:firstLine="281" w:firstLineChars="100"/>
        <w:rPr>
          <w:rFonts w:hint="default"/>
          <w:b/>
          <w:bCs/>
          <w:color w:val="C0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C00000"/>
          <w:sz w:val="28"/>
          <w:szCs w:val="28"/>
          <w:lang w:val="en-US" w:eastAsia="zh-CN"/>
        </w:rPr>
        <w:t>*注意事项</w:t>
      </w:r>
      <w:r>
        <w:rPr>
          <w:rFonts w:hint="default"/>
          <w:b/>
          <w:bCs/>
          <w:color w:val="C00000"/>
          <w:sz w:val="28"/>
          <w:szCs w:val="28"/>
          <w:lang w:val="en-US" w:eastAsia="zh-CN"/>
        </w:rPr>
        <w:t>：</w:t>
      </w:r>
      <w:r>
        <w:rPr>
          <w:rFonts w:hint="eastAsia"/>
          <w:b/>
          <w:bCs/>
          <w:color w:val="C00000"/>
          <w:sz w:val="28"/>
          <w:szCs w:val="28"/>
          <w:lang w:val="en-US" w:eastAsia="zh-CN"/>
        </w:rPr>
        <w:t>（尽可能使用电脑答辩）</w:t>
      </w:r>
    </w:p>
    <w:p w14:paraId="137494B7">
      <w:pPr>
        <w:ind w:firstLine="281" w:firstLineChars="1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1、设备要求：须配备电脑、麦克风等线上答辩所需设备。</w:t>
      </w:r>
      <w:r>
        <w:rPr>
          <w:rFonts w:hint="default"/>
          <w:b/>
          <w:bCs/>
          <w:sz w:val="28"/>
          <w:szCs w:val="28"/>
          <w:lang w:val="en-US" w:eastAsia="zh-CN"/>
        </w:rPr>
        <w:t>提前做好测试，检测语音与摄像头设备是否运行正常。</w:t>
      </w:r>
    </w:p>
    <w:p w14:paraId="4A502A8D">
      <w:pPr>
        <w:ind w:firstLine="281" w:firstLineChars="10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2、答辩环境：安静无干扰，必须是在单独空间独立进行。</w:t>
      </w:r>
    </w:p>
    <w:p w14:paraId="27A8D998">
      <w:pPr>
        <w:ind w:firstLine="281" w:firstLineChars="1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3、时间要求：务必在答辩前30分钟进入线上会议室。</w:t>
      </w:r>
    </w:p>
    <w:p w14:paraId="2D93113A">
      <w:pPr>
        <w:ind w:firstLine="281" w:firstLineChars="1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4、答辩过程中，非答辩学生应禁音，有任何问题可在答辩学生群联系答辩秘书；</w:t>
      </w:r>
      <w:r>
        <w:rPr>
          <w:rFonts w:hint="default"/>
          <w:b/>
          <w:bCs/>
          <w:sz w:val="28"/>
          <w:szCs w:val="28"/>
          <w:lang w:val="en-US" w:eastAsia="zh-CN"/>
        </w:rPr>
        <w:t>如出现设备故障或语音异常，可点击界面下方“聊天”与</w:t>
      </w:r>
      <w:r>
        <w:rPr>
          <w:rFonts w:hint="eastAsia"/>
          <w:b/>
          <w:bCs/>
          <w:sz w:val="28"/>
          <w:szCs w:val="28"/>
          <w:lang w:val="en-US" w:eastAsia="zh-CN"/>
        </w:rPr>
        <w:t>技术支持老师</w:t>
      </w:r>
      <w:r>
        <w:rPr>
          <w:rFonts w:hint="default"/>
          <w:b/>
          <w:bCs/>
          <w:sz w:val="28"/>
          <w:szCs w:val="28"/>
          <w:lang w:val="en-US" w:eastAsia="zh-CN"/>
        </w:rPr>
        <w:t>进行沟通解决，请勿私自退出反复进入。</w:t>
      </w:r>
    </w:p>
    <w:p w14:paraId="63130405">
      <w:pPr>
        <w:ind w:firstLine="281" w:firstLineChars="10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5、禁止在答辩过程中从事与答辩无关的行为，未经答辩小组同意不得向外传播线上答辩音频、视频等相关材料。</w:t>
      </w:r>
    </w:p>
    <w:p w14:paraId="7DAB8BE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right="0"/>
        <w:jc w:val="both"/>
        <w:rPr>
          <w:rFonts w:hint="eastAsia" w:ascii="微软雅黑" w:hAnsi="微软雅黑" w:eastAsia="微软雅黑" w:cs="微软雅黑"/>
          <w:b/>
          <w:i w:val="0"/>
          <w:caps w:val="0"/>
          <w:color w:val="363636"/>
          <w:spacing w:val="0"/>
          <w:sz w:val="27"/>
          <w:szCs w:val="27"/>
          <w:shd w:val="clear" w:fill="FFFFFF"/>
          <w:lang w:val="en-US" w:eastAsia="zh-CN"/>
        </w:rPr>
      </w:pPr>
    </w:p>
    <w:p w14:paraId="611C766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right="0"/>
        <w:jc w:val="both"/>
        <w:rPr>
          <w:rFonts w:hint="eastAsia" w:ascii="微软雅黑" w:hAnsi="微软雅黑" w:eastAsia="微软雅黑" w:cs="微软雅黑"/>
          <w:b/>
          <w:i w:val="0"/>
          <w:caps w:val="0"/>
          <w:color w:val="363636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i w:val="0"/>
          <w:caps w:val="0"/>
          <w:color w:val="363636"/>
          <w:spacing w:val="0"/>
          <w:sz w:val="27"/>
          <w:szCs w:val="27"/>
          <w:shd w:val="clear" w:fill="FFFFFF"/>
          <w:lang w:val="en-US" w:eastAsia="zh-CN"/>
        </w:rPr>
        <w:t>附件二         学位申请资格及各专业考核课程</w:t>
      </w:r>
    </w:p>
    <w:p w14:paraId="06FC5E2D">
      <w:pPr>
        <w:numPr>
          <w:ilvl w:val="0"/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 w14:paraId="20C69C50">
      <w:pPr>
        <w:numPr>
          <w:ilvl w:val="0"/>
          <w:numId w:val="3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学位申请资格</w:t>
      </w:r>
    </w:p>
    <w:p w14:paraId="65B06498">
      <w:pPr>
        <w:numPr>
          <w:ilvl w:val="0"/>
          <w:numId w:val="4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本科生符合毕业条件且毕业证书电子注册成功；</w:t>
      </w:r>
    </w:p>
    <w:p w14:paraId="37FACB37">
      <w:pPr>
        <w:numPr>
          <w:ilvl w:val="0"/>
          <w:numId w:val="0"/>
        </w:numPr>
        <w:rPr>
          <w:rFonts w:hint="default" w:ascii="微软雅黑" w:hAnsi="微软雅黑" w:eastAsia="微软雅黑" w:cs="微软雅黑"/>
          <w:b w:val="0"/>
          <w:bCs/>
          <w:i w:val="0"/>
          <w:caps w:val="0"/>
          <w:color w:val="363636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2、毕业论文成绩在“良”以上论文成绩在“良”以上（含“良”）；</w:t>
      </w:r>
    </w:p>
    <w:p w14:paraId="63C69DEC">
      <w:pPr>
        <w:numPr>
          <w:ilvl w:val="0"/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3、课程总平均成绩70分（含）以上；</w:t>
      </w:r>
    </w:p>
    <w:p w14:paraId="52748D74">
      <w:pPr>
        <w:numPr>
          <w:ilvl w:val="0"/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4、学位英语及学位课程考试合格：</w:t>
      </w:r>
    </w:p>
    <w:p w14:paraId="3A240073">
      <w:pPr>
        <w:numPr>
          <w:ilvl w:val="0"/>
          <w:numId w:val="0"/>
        </w:numPr>
        <w:rPr>
          <w:rFonts w:hint="default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二、各专业学位课程</w:t>
      </w:r>
    </w:p>
    <w:tbl>
      <w:tblPr>
        <w:tblStyle w:val="5"/>
        <w:tblW w:w="8539" w:type="dxa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3"/>
        <w:gridCol w:w="1560"/>
        <w:gridCol w:w="4286"/>
      </w:tblGrid>
      <w:tr w14:paraId="7CF9FE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2693" w:type="dxa"/>
            <w:vAlign w:val="center"/>
          </w:tcPr>
          <w:p w14:paraId="7D64FCC3">
            <w:pPr>
              <w:spacing w:line="400" w:lineRule="exact"/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专业名称</w:t>
            </w:r>
          </w:p>
        </w:tc>
        <w:tc>
          <w:tcPr>
            <w:tcW w:w="1560" w:type="dxa"/>
            <w:vAlign w:val="center"/>
          </w:tcPr>
          <w:p w14:paraId="2D36A17B">
            <w:pPr>
              <w:spacing w:line="400" w:lineRule="exact"/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基础课</w:t>
            </w:r>
          </w:p>
        </w:tc>
        <w:tc>
          <w:tcPr>
            <w:tcW w:w="4286" w:type="dxa"/>
            <w:vAlign w:val="center"/>
          </w:tcPr>
          <w:p w14:paraId="2A68634A">
            <w:pPr>
              <w:spacing w:line="400" w:lineRule="exact"/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专业课</w:t>
            </w:r>
          </w:p>
        </w:tc>
      </w:tr>
      <w:tr w14:paraId="170DDE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93" w:type="dxa"/>
            <w:vAlign w:val="center"/>
          </w:tcPr>
          <w:p w14:paraId="3045BB12">
            <w:pPr>
              <w:spacing w:line="400" w:lineRule="exact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工商管理</w:t>
            </w:r>
          </w:p>
        </w:tc>
        <w:tc>
          <w:tcPr>
            <w:tcW w:w="1560" w:type="dxa"/>
            <w:vAlign w:val="center"/>
          </w:tcPr>
          <w:p w14:paraId="73875491">
            <w:pPr>
              <w:spacing w:line="400" w:lineRule="exact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kern w:val="0"/>
              </w:rPr>
              <w:t>经济数学（二）</w:t>
            </w:r>
          </w:p>
        </w:tc>
        <w:tc>
          <w:tcPr>
            <w:tcW w:w="4286" w:type="dxa"/>
            <w:vAlign w:val="center"/>
          </w:tcPr>
          <w:p w14:paraId="0FF7625D">
            <w:pPr>
              <w:spacing w:line="400" w:lineRule="exact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组织行为学、企业经营战略管理</w:t>
            </w:r>
          </w:p>
        </w:tc>
      </w:tr>
    </w:tbl>
    <w:p w14:paraId="5132E14E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 w14:paraId="11403FD2">
      <w:pPr>
        <w:numPr>
          <w:ilvl w:val="0"/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三、考核范围</w:t>
      </w:r>
    </w:p>
    <w:p w14:paraId="1A220236">
      <w:pPr>
        <w:numPr>
          <w:ilvl w:val="0"/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各课程教学课件和教学参考书相关内容。</w:t>
      </w:r>
    </w:p>
    <w:p w14:paraId="55DC0DB0">
      <w:pPr>
        <w:numPr>
          <w:ilvl w:val="0"/>
          <w:numId w:val="5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考试地点</w:t>
      </w:r>
    </w:p>
    <w:p w14:paraId="1B155189">
      <w:pPr>
        <w:numPr>
          <w:ilvl w:val="0"/>
          <w:numId w:val="0"/>
        </w:numPr>
        <w:ind w:firstLine="240" w:firstLineChars="100"/>
        <w:rPr>
          <w:rFonts w:hint="default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西安电子科技大学北校区（地点若有变更，西电会及时告知）。</w:t>
      </w:r>
    </w:p>
    <w:p w14:paraId="580337B6">
      <w:pPr>
        <w:numPr>
          <w:ilvl w:val="0"/>
          <w:numId w:val="0"/>
        </w:numPr>
        <w:rPr>
          <w:rFonts w:hint="default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 </w:t>
      </w:r>
    </w:p>
    <w:p w14:paraId="7D78E459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 w14:paraId="7E024AE4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</w:pPr>
    </w:p>
    <w:p w14:paraId="6361F2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D805C5"/>
    <w:multiLevelType w:val="singleLevel"/>
    <w:tmpl w:val="A2D805C5"/>
    <w:lvl w:ilvl="0" w:tentative="0">
      <w:start w:val="2"/>
      <w:numFmt w:val="decimal"/>
      <w:suff w:val="nothing"/>
      <w:lvlText w:val="（%1）"/>
      <w:lvlJc w:val="left"/>
    </w:lvl>
  </w:abstractNum>
  <w:abstractNum w:abstractNumId="1">
    <w:nsid w:val="D6A98451"/>
    <w:multiLevelType w:val="singleLevel"/>
    <w:tmpl w:val="D6A9845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1918D789"/>
    <w:multiLevelType w:val="singleLevel"/>
    <w:tmpl w:val="1918D789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4EAB0CE0"/>
    <w:multiLevelType w:val="singleLevel"/>
    <w:tmpl w:val="4EAB0CE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286096D"/>
    <w:multiLevelType w:val="singleLevel"/>
    <w:tmpl w:val="7286096D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mODM4MzFjZWNhMWVjMGMyZjgzOTA2MzA4MmY1NTAifQ=="/>
  </w:docVars>
  <w:rsids>
    <w:rsidRoot w:val="63BB1688"/>
    <w:rsid w:val="0187687C"/>
    <w:rsid w:val="02033DB1"/>
    <w:rsid w:val="02176AEE"/>
    <w:rsid w:val="042C1C50"/>
    <w:rsid w:val="066871DE"/>
    <w:rsid w:val="06BE7514"/>
    <w:rsid w:val="07A83A3D"/>
    <w:rsid w:val="09EA44E6"/>
    <w:rsid w:val="0B45095E"/>
    <w:rsid w:val="0CD90A72"/>
    <w:rsid w:val="0D452C8F"/>
    <w:rsid w:val="0E6C1392"/>
    <w:rsid w:val="10070A39"/>
    <w:rsid w:val="10237741"/>
    <w:rsid w:val="105F5806"/>
    <w:rsid w:val="11220CD3"/>
    <w:rsid w:val="117579FB"/>
    <w:rsid w:val="126F65A9"/>
    <w:rsid w:val="131B14ED"/>
    <w:rsid w:val="136E4FEF"/>
    <w:rsid w:val="13E86427"/>
    <w:rsid w:val="14C84F00"/>
    <w:rsid w:val="1854622C"/>
    <w:rsid w:val="185502C1"/>
    <w:rsid w:val="18571BD6"/>
    <w:rsid w:val="195F0D09"/>
    <w:rsid w:val="19B378F6"/>
    <w:rsid w:val="1B492130"/>
    <w:rsid w:val="1C8B5B9E"/>
    <w:rsid w:val="1CB26D2B"/>
    <w:rsid w:val="1DCF1D57"/>
    <w:rsid w:val="1E2079E7"/>
    <w:rsid w:val="1E391DB3"/>
    <w:rsid w:val="1EB355D7"/>
    <w:rsid w:val="1F4849A4"/>
    <w:rsid w:val="1FAE53EF"/>
    <w:rsid w:val="20404CC9"/>
    <w:rsid w:val="206C6FEE"/>
    <w:rsid w:val="20B03E05"/>
    <w:rsid w:val="22017922"/>
    <w:rsid w:val="222C4CFC"/>
    <w:rsid w:val="228E7026"/>
    <w:rsid w:val="245B5ADD"/>
    <w:rsid w:val="27A61F01"/>
    <w:rsid w:val="2920232D"/>
    <w:rsid w:val="293C777C"/>
    <w:rsid w:val="2BB62B7B"/>
    <w:rsid w:val="2BD31FE4"/>
    <w:rsid w:val="2C291120"/>
    <w:rsid w:val="2DAF6EAC"/>
    <w:rsid w:val="315260A7"/>
    <w:rsid w:val="32F57D8C"/>
    <w:rsid w:val="33B554C0"/>
    <w:rsid w:val="3429611F"/>
    <w:rsid w:val="356339E0"/>
    <w:rsid w:val="361F3FF7"/>
    <w:rsid w:val="3649152A"/>
    <w:rsid w:val="36743B00"/>
    <w:rsid w:val="37FC024D"/>
    <w:rsid w:val="38087F83"/>
    <w:rsid w:val="3929007B"/>
    <w:rsid w:val="39AA5967"/>
    <w:rsid w:val="39CA17B1"/>
    <w:rsid w:val="39F95DBF"/>
    <w:rsid w:val="3A951BB3"/>
    <w:rsid w:val="3B931E30"/>
    <w:rsid w:val="3E196485"/>
    <w:rsid w:val="3E3F4EA4"/>
    <w:rsid w:val="3F865DD8"/>
    <w:rsid w:val="40292385"/>
    <w:rsid w:val="40CF3EBD"/>
    <w:rsid w:val="451023FC"/>
    <w:rsid w:val="45251DD3"/>
    <w:rsid w:val="45A042D6"/>
    <w:rsid w:val="45E21BF6"/>
    <w:rsid w:val="46592716"/>
    <w:rsid w:val="46740C9F"/>
    <w:rsid w:val="469610F9"/>
    <w:rsid w:val="480A00CC"/>
    <w:rsid w:val="495209A1"/>
    <w:rsid w:val="4AE0082D"/>
    <w:rsid w:val="4AF36A43"/>
    <w:rsid w:val="4B30633C"/>
    <w:rsid w:val="4BF057CF"/>
    <w:rsid w:val="4DDA2AC1"/>
    <w:rsid w:val="4E7847FA"/>
    <w:rsid w:val="51897B06"/>
    <w:rsid w:val="518F5731"/>
    <w:rsid w:val="566221B6"/>
    <w:rsid w:val="56E14D8C"/>
    <w:rsid w:val="5B6854AA"/>
    <w:rsid w:val="5C1002DC"/>
    <w:rsid w:val="5C3353EE"/>
    <w:rsid w:val="5C483EAE"/>
    <w:rsid w:val="5C7C047F"/>
    <w:rsid w:val="5FA05BA2"/>
    <w:rsid w:val="611806A4"/>
    <w:rsid w:val="611C70CA"/>
    <w:rsid w:val="61316BCB"/>
    <w:rsid w:val="61392936"/>
    <w:rsid w:val="61AA1C2F"/>
    <w:rsid w:val="637F49C9"/>
    <w:rsid w:val="63BB1688"/>
    <w:rsid w:val="63C45687"/>
    <w:rsid w:val="64482A51"/>
    <w:rsid w:val="65126F9B"/>
    <w:rsid w:val="67427B70"/>
    <w:rsid w:val="67F8079B"/>
    <w:rsid w:val="68290707"/>
    <w:rsid w:val="68DE4A96"/>
    <w:rsid w:val="692B2BC1"/>
    <w:rsid w:val="6991705E"/>
    <w:rsid w:val="6A280199"/>
    <w:rsid w:val="6A7D0945"/>
    <w:rsid w:val="6B6712C6"/>
    <w:rsid w:val="6EC8494C"/>
    <w:rsid w:val="6EE774E4"/>
    <w:rsid w:val="6F053A47"/>
    <w:rsid w:val="6F4A0114"/>
    <w:rsid w:val="70D233E2"/>
    <w:rsid w:val="712827EB"/>
    <w:rsid w:val="7170594E"/>
    <w:rsid w:val="73A673A8"/>
    <w:rsid w:val="73E22379"/>
    <w:rsid w:val="74EC03BC"/>
    <w:rsid w:val="758C4689"/>
    <w:rsid w:val="775748F9"/>
    <w:rsid w:val="777A747F"/>
    <w:rsid w:val="79423066"/>
    <w:rsid w:val="797E13A6"/>
    <w:rsid w:val="7A380363"/>
    <w:rsid w:val="7B03054B"/>
    <w:rsid w:val="7B950990"/>
    <w:rsid w:val="7D2E3B66"/>
    <w:rsid w:val="7DF31ACE"/>
    <w:rsid w:val="7E4656AE"/>
    <w:rsid w:val="7E701861"/>
    <w:rsid w:val="7E972780"/>
    <w:rsid w:val="7F26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font11"/>
    <w:basedOn w:val="6"/>
    <w:autoRedefine/>
    <w:qFormat/>
    <w:uiPriority w:val="0"/>
    <w:rPr>
      <w:rFonts w:ascii="Arial" w:hAnsi="Arial" w:cs="Arial"/>
      <w:b/>
      <w:color w:val="000000"/>
      <w:sz w:val="32"/>
      <w:szCs w:val="32"/>
      <w:u w:val="none"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9">
    <w:name w:val="font2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1396</Words>
  <Characters>1503</Characters>
  <Lines>0</Lines>
  <Paragraphs>0</Paragraphs>
  <TotalTime>2</TotalTime>
  <ScaleCrop>false</ScaleCrop>
  <LinksUpToDate>false</LinksUpToDate>
  <CharactersWithSpaces>1684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2020-10-12T08:23:00Z</dcterms:created>
  <dc:creator>雁渡寒潭</dc:creator>
  <cp:lastModifiedBy>雁渡寒潭</cp:lastModifiedBy>
  <dcterms:modified xsi:type="dcterms:W3CDTF">2024-10-14T01:21:52Z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E0DAE5BC2FBC4AFB96E7C4BAE1798A42_13</vt:lpwstr>
  </property>
</Properties>
</file>